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33" w:rsidRPr="008B6933" w:rsidRDefault="008B6933" w:rsidP="008B6933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proofErr w:type="gramStart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GK </w:t>
      </w: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SERİSİ</w:t>
      </w:r>
      <w:proofErr w:type="gramEnd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CLASS ΙΙ MİKROBİYOLOJİK GÜVENLİK KABİNLERİ</w:t>
      </w:r>
    </w:p>
    <w:p w:rsidR="008B6933" w:rsidRDefault="008B6933" w:rsidP="008B6933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Kullanıcı, çevre ve ürü</w:t>
      </w:r>
      <w:r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 için üst düzey koruma sunan MGK</w:t>
      </w: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Serisi Mikrobiyolojik Güvenlik Kabinleri, zararlı ve zarar seviyesi belirsiz olan mikroorganizmalarla yapılan tüm çalışmalara yönelik olarak tasarlanmıştır.</w:t>
      </w:r>
    </w:p>
    <w:p w:rsidR="008B6933" w:rsidRPr="008B6933" w:rsidRDefault="008B6933" w:rsidP="008B6933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Class ΙΙ Mikrobiyolojik Güvenlik Kabinleri, kabin içinde çalışılan riskli olabilecek ya da riskli mikroorganizmalardan çıkan </w:t>
      </w:r>
      <w:proofErr w:type="spellStart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aerosollere</w:t>
      </w:r>
      <w:proofErr w:type="spellEnd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karşı operatör, çevre ve çalışılan numuneler için birinci sınıf koruma sağlar.</w:t>
      </w:r>
    </w:p>
    <w:p w:rsidR="008B6933" w:rsidRPr="008B6933" w:rsidRDefault="008B6933" w:rsidP="008B6933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Kabinlerin dış gövdesi elektrostatik toz boyalı çelik sacdan imal edilmiştir. Kolay temizlik açısından </w:t>
      </w:r>
      <w:proofErr w:type="spellStart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kontaminasyona</w:t>
      </w:r>
      <w:proofErr w:type="spellEnd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karşı çalışma tablası paslanmaz çelikten yapılmıştır. Lamine edilmiş </w:t>
      </w:r>
      <w:proofErr w:type="spellStart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temperli</w:t>
      </w:r>
      <w:proofErr w:type="spellEnd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ön pencere UV ışınlarını geçirmez.</w:t>
      </w:r>
    </w:p>
    <w:p w:rsidR="008B6933" w:rsidRPr="008B6933" w:rsidRDefault="008B6933" w:rsidP="008B6933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Kontrol paneli dijital ve LCD göstergelidir. Kontrol panelinde;</w:t>
      </w:r>
    </w:p>
    <w:p w:rsidR="008B6933" w:rsidRPr="008B6933" w:rsidRDefault="008B6933" w:rsidP="008B693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Hava akış hızı,</w:t>
      </w:r>
    </w:p>
    <w:p w:rsidR="008B6933" w:rsidRPr="008B6933" w:rsidRDefault="008B6933" w:rsidP="008B693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Toplam çalışma süresi,</w:t>
      </w:r>
    </w:p>
    <w:p w:rsidR="008B6933" w:rsidRPr="008B6933" w:rsidRDefault="008B6933" w:rsidP="008B693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Zaman sayacı,</w:t>
      </w:r>
    </w:p>
    <w:p w:rsidR="008B6933" w:rsidRPr="008B6933" w:rsidRDefault="008B6933" w:rsidP="008B693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HEPA filtre ömrü,</w:t>
      </w:r>
    </w:p>
    <w:p w:rsidR="008B6933" w:rsidRPr="008B6933" w:rsidRDefault="008B6933" w:rsidP="008B693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Ön cam,</w:t>
      </w:r>
    </w:p>
    <w:p w:rsidR="008B6933" w:rsidRPr="008B6933" w:rsidRDefault="008B6933" w:rsidP="008B693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UV lamba,</w:t>
      </w:r>
    </w:p>
    <w:p w:rsidR="008B6933" w:rsidRPr="008B6933" w:rsidRDefault="008B6933" w:rsidP="008B693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UV lambanın toplam çalışma süresi/ömrü,</w:t>
      </w:r>
    </w:p>
    <w:p w:rsidR="008B6933" w:rsidRPr="008B6933" w:rsidRDefault="008B6933" w:rsidP="008B693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UV lamba geriş sayım zamanlaması,</w:t>
      </w:r>
    </w:p>
    <w:p w:rsidR="008B6933" w:rsidRPr="008B6933" w:rsidRDefault="008B6933" w:rsidP="008B693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 xml:space="preserve">Çalışma alanına verilen </w:t>
      </w:r>
      <w:proofErr w:type="spellStart"/>
      <w:proofErr w:type="gramStart"/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partikülsüz</w:t>
      </w:r>
      <w:proofErr w:type="spellEnd"/>
      <w:proofErr w:type="gramEnd"/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 xml:space="preserve"> havanın akış hızı gibi parametreler bulunur.</w:t>
      </w:r>
    </w:p>
    <w:p w:rsidR="008B6933" w:rsidRPr="008B6933" w:rsidRDefault="008B6933" w:rsidP="008B6933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Cihazda 2 adet HEPA tip filtre olup 0,3 mikrondan büyük boyutlu </w:t>
      </w:r>
      <w:proofErr w:type="gramStart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partikülleri</w:t>
      </w:r>
      <w:proofErr w:type="gramEnd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tutar. Minimum etkinlik düzeyi %99,999’dur.</w:t>
      </w:r>
    </w:p>
    <w:p w:rsidR="008B6933" w:rsidRPr="008B6933" w:rsidRDefault="008B6933" w:rsidP="008B6933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(DOP testine göre)</w:t>
      </w:r>
      <w:proofErr w:type="spellStart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Dekontominasyon</w:t>
      </w:r>
      <w:proofErr w:type="spellEnd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faktörü(F)minimum 100000’dir.</w:t>
      </w:r>
    </w:p>
    <w:p w:rsidR="008B6933" w:rsidRPr="008B6933" w:rsidRDefault="008B6933" w:rsidP="008B6933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Cihazda </w:t>
      </w:r>
      <w:proofErr w:type="spellStart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kontaminasyon</w:t>
      </w:r>
      <w:proofErr w:type="spellEnd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riski olan hava kanalları negatif basınç altında bırakılmış böylece çalışma alanına giden havaya </w:t>
      </w:r>
      <w:proofErr w:type="gramStart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partikül</w:t>
      </w:r>
      <w:proofErr w:type="gramEnd"/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karışması önlenmiştir.</w:t>
      </w:r>
    </w:p>
    <w:p w:rsidR="008B6933" w:rsidRPr="008B6933" w:rsidRDefault="008B6933" w:rsidP="008B693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Class ΙΙ Mikrobiyolojik Güvenlik Kabinleri sadece güvenlik kullanım kolaylığı, kullanıcı rahatlığı ve bakım kolaylığı göz önünde bulundurularak tasarlanmıştır.</w:t>
      </w:r>
    </w:p>
    <w:p w:rsidR="008B6933" w:rsidRPr="008B6933" w:rsidRDefault="008B6933" w:rsidP="008B693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O.P test çıkışı standart olarak sunulmaktadır.</w:t>
      </w:r>
    </w:p>
    <w:p w:rsidR="008B6933" w:rsidRPr="008B6933" w:rsidRDefault="008B6933" w:rsidP="008B693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 xml:space="preserve">HEPA filtreler kolaylıkla ve kısa sürüde değiştirilebilir. Kolaylıkla erişilebilen kontrol sistemi </w:t>
      </w:r>
      <w:proofErr w:type="spellStart"/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kontamine</w:t>
      </w:r>
      <w:proofErr w:type="spellEnd"/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 xml:space="preserve"> olmuş alan dışına yerleştirilmiştir.</w:t>
      </w:r>
    </w:p>
    <w:p w:rsidR="008B6933" w:rsidRPr="008B6933" w:rsidRDefault="008B6933" w:rsidP="008B693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 xml:space="preserve">Cam pencerenin içini temizlemek için çaba ve zaman gerekmemektedir. </w:t>
      </w:r>
      <w:proofErr w:type="spellStart"/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Otomotik</w:t>
      </w:r>
      <w:proofErr w:type="spellEnd"/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 xml:space="preserve"> pencere tam olarak açılır ve sabit kalarak temizliği kolaylığı sağlar.</w:t>
      </w:r>
    </w:p>
    <w:p w:rsidR="008B6933" w:rsidRPr="008B6933" w:rsidRDefault="008B6933" w:rsidP="008B693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 xml:space="preserve">Tüm işlemler </w:t>
      </w:r>
      <w:proofErr w:type="spellStart"/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otomotik</w:t>
      </w:r>
      <w:proofErr w:type="spellEnd"/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 xml:space="preserve"> olarak yapıldığından kullanıcının herhangi bir ayar yapmasına gerek yoktur.</w:t>
      </w:r>
    </w:p>
    <w:p w:rsidR="008B6933" w:rsidRPr="008B6933" w:rsidRDefault="008B6933" w:rsidP="008B693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</w:pPr>
      <w:r w:rsidRPr="008B6933">
        <w:rPr>
          <w:rFonts w:ascii="inherit" w:eastAsia="Times New Roman" w:hAnsi="inherit" w:cs="Helvetica"/>
          <w:color w:val="666666"/>
          <w:sz w:val="20"/>
          <w:szCs w:val="20"/>
          <w:lang w:eastAsia="tr-TR"/>
        </w:rPr>
        <w:t>Gürültü seviyesi, sessiz fan sayesinde çok düşüktür.</w:t>
      </w:r>
    </w:p>
    <w:p w:rsidR="008B6933" w:rsidRPr="008B6933" w:rsidRDefault="008B6933" w:rsidP="008B6933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8B6933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7486"/>
      </w:tblGrid>
      <w:tr w:rsidR="008B6933" w:rsidRPr="008B6933" w:rsidTr="008B6933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  </w:t>
            </w:r>
          </w:p>
          <w:p w:rsid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</w:p>
          <w:p w:rsidR="008B6933" w:rsidRPr="008B6933" w:rsidRDefault="008B6933" w:rsidP="008B6933">
            <w:pPr>
              <w:spacing w:after="0" w:line="240" w:lineRule="auto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8B6933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tr-TR"/>
              </w:rPr>
              <w:lastRenderedPageBreak/>
              <w:t>TEKNİK ÖZELLİKLER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lastRenderedPageBreak/>
              <w:t>Hepa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Filtre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HEPA tip filtre olup </w:t>
            </w:r>
            <w:proofErr w:type="gram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0.3</w:t>
            </w:r>
            <w:proofErr w:type="gram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mikrondan büyük boyutlu partikülleri tutar. Minimum etkinlik düzeyi %99,999’dur. (D.O.P testine göre)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Dekontominasyon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faktörü(F) minimum 100000’dir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Çalışma Kabini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Epoksi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Elektrostatik Toz Boyalı 2mm soğuk çekilmiş çelik DKP, alt dolap mobil yerinden çıkabilir veya metal kapaklı sabit sistem, kabin içinde hortum uçlu gaz ve su çıkış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nozulları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, ağır ve hafif gaz ayar paneli, kabin içi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flouresant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aydınlatma, UV aydınlatma, davlumbaz kısmı hava akış fiziğine uygun sistem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Çalışma Zemini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Demonte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delikli AISI 304 paslanmaz çelik, antiasit kompakt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laminat</w:t>
            </w:r>
            <w:proofErr w:type="spellEnd"/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Ön Filtre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Sentetik Fiber esaslı filtredir HEPA filtreye gelen havadaki </w:t>
            </w:r>
            <w:proofErr w:type="gram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partikülleri</w:t>
            </w:r>
            <w:proofErr w:type="gram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filtre ederek HEPA filtrenin ömrünü uzatır.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Fan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Standart EN 60034-1 Koruma sınıfı IP44 Çelik gövde, tek emişli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santrifugal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tip üfleyicidir. Pervane ve motor statik olarak balanslıdır.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Laminar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hava hızı 3,35-0,55 m/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sn’dir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.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Aydınlatma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Düşük güç yüksek yoğunluklu 800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Lüx</w:t>
            </w:r>
            <w:proofErr w:type="spellEnd"/>
            <w:proofErr w:type="gram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(</w:t>
            </w:r>
            <w:proofErr w:type="spellStart"/>
            <w:proofErr w:type="gram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Flouresant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Lamba/UV Lamba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Çalışma Ölçüleri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İsteğe Bağlı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Boya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Madeni Kısımlar Özel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Solventlerle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temizlendikten sonra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epoksi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elektrostatik toz boya ile kaplanıp 200 C ̊’de pişirilmektedir.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Gürültü Seviyesi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55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dBA</w:t>
            </w:r>
            <w:proofErr w:type="spellEnd"/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Standart Aksesuar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Ayaklı destek standı/UV lamba/Hız ayarlı </w:t>
            </w:r>
            <w:proofErr w:type="spellStart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dimmer</w:t>
            </w:r>
            <w:proofErr w:type="spellEnd"/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 xml:space="preserve"> anahtar/filtre ömür sayacı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Opsiyonlar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Komple iç Hazne paslanmaz çelik/gaz ve su valfi/evye/dolap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Kurulu Güç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220 Volt/50Hz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Hava Akış Kontrolü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Manuel Hız Kontrollü</w:t>
            </w:r>
          </w:p>
        </w:tc>
      </w:tr>
      <w:tr w:rsidR="008B6933" w:rsidRPr="008B6933" w:rsidTr="008B693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Diğer Teknik Özellikler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933" w:rsidRPr="008B6933" w:rsidRDefault="008B6933" w:rsidP="008B69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8B6933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Kullanıcı isteği ve laboratuvar şartlarına uygun şekilde cihaz üretilmektedir.</w:t>
            </w:r>
          </w:p>
        </w:tc>
      </w:tr>
    </w:tbl>
    <w:p w:rsidR="00B40FE2" w:rsidRDefault="00B40FE2"/>
    <w:sectPr w:rsidR="00B4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151"/>
    <w:multiLevelType w:val="multilevel"/>
    <w:tmpl w:val="BD1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45401F"/>
    <w:multiLevelType w:val="multilevel"/>
    <w:tmpl w:val="728A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3"/>
    <w:rsid w:val="008B6933"/>
    <w:rsid w:val="00B40FE2"/>
    <w:rsid w:val="00C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2019-07-22T14:18:00Z</dcterms:created>
  <dcterms:modified xsi:type="dcterms:W3CDTF">2019-07-22T14:18:00Z</dcterms:modified>
</cp:coreProperties>
</file>